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0F90" w14:textId="77777777" w:rsidR="007D3099" w:rsidRDefault="007D3099"/>
    <w:p w14:paraId="5CC54CEB" w14:textId="77777777" w:rsidR="007D3099" w:rsidRDefault="007D3099"/>
    <w:p w14:paraId="524C5FD5" w14:textId="77777777" w:rsidR="007D3099" w:rsidRDefault="007D3099"/>
    <w:p w14:paraId="0062C183" w14:textId="77777777" w:rsidR="007D3099" w:rsidRDefault="007D3099"/>
    <w:p w14:paraId="76CEEF38" w14:textId="77777777" w:rsidR="007D3099" w:rsidRDefault="007D3099"/>
    <w:p w14:paraId="7BB7C98A" w14:textId="77777777" w:rsidR="007D3099" w:rsidRDefault="007D3099"/>
    <w:p w14:paraId="41402BF4" w14:textId="77777777" w:rsidR="007D3099" w:rsidRDefault="007D3099"/>
    <w:p w14:paraId="01122F51" w14:textId="77777777" w:rsidR="007D3099" w:rsidRDefault="007D3099"/>
    <w:p w14:paraId="79716363" w14:textId="77777777" w:rsidR="007D3099" w:rsidRDefault="007D3099"/>
    <w:p w14:paraId="7A9F3FA6" w14:textId="4E9EDB7B" w:rsidR="00424089" w:rsidRPr="00CE2C87" w:rsidRDefault="00424089" w:rsidP="00424089">
      <w:pPr>
        <w:jc w:val="center"/>
        <w:rPr>
          <w:rFonts w:ascii="Calibri" w:hAnsi="Calibri" w:cs="Calibri"/>
          <w:sz w:val="22"/>
          <w:szCs w:val="22"/>
        </w:rPr>
      </w:pPr>
      <w:r>
        <w:rPr>
          <w:rFonts w:ascii="Calibri" w:hAnsi="Calibri" w:cs="Calibri"/>
          <w:sz w:val="22"/>
          <w:szCs w:val="22"/>
        </w:rPr>
        <w:t>Research Design Proposal</w:t>
      </w:r>
      <w:r w:rsidRPr="00CE2C87">
        <w:rPr>
          <w:rFonts w:ascii="Calibri" w:hAnsi="Calibri" w:cs="Calibri"/>
          <w:sz w:val="22"/>
          <w:szCs w:val="22"/>
        </w:rPr>
        <w:t>: Group 6 – Child Welfare &amp; Human Services Systems</w:t>
      </w:r>
    </w:p>
    <w:p w14:paraId="717D1AA9" w14:textId="5B0E5AAC" w:rsidR="00424089" w:rsidRPr="00CE2C87" w:rsidRDefault="00424089" w:rsidP="00424089">
      <w:pPr>
        <w:jc w:val="center"/>
        <w:rPr>
          <w:rFonts w:ascii="Calibri" w:hAnsi="Calibri" w:cs="Calibri"/>
          <w:sz w:val="22"/>
          <w:szCs w:val="22"/>
        </w:rPr>
      </w:pPr>
      <w:r w:rsidRPr="00CE2C87">
        <w:rPr>
          <w:rFonts w:ascii="Calibri" w:hAnsi="Calibri" w:cs="Calibri"/>
          <w:sz w:val="22"/>
          <w:szCs w:val="22"/>
        </w:rPr>
        <w:t>California University Northridge</w:t>
      </w:r>
    </w:p>
    <w:p w14:paraId="6774AFF1" w14:textId="7ECCF111" w:rsidR="00424089" w:rsidRPr="00CE2C87" w:rsidRDefault="00424089" w:rsidP="00424089">
      <w:pPr>
        <w:jc w:val="center"/>
        <w:rPr>
          <w:rFonts w:ascii="Calibri" w:hAnsi="Calibri" w:cs="Calibri"/>
          <w:sz w:val="22"/>
          <w:szCs w:val="22"/>
        </w:rPr>
      </w:pPr>
      <w:r w:rsidRPr="00CE2C87">
        <w:rPr>
          <w:rFonts w:ascii="Calibri" w:hAnsi="Calibri" w:cs="Calibri"/>
          <w:sz w:val="22"/>
          <w:szCs w:val="22"/>
        </w:rPr>
        <w:t>Research Methods for Public Administrators I</w:t>
      </w:r>
    </w:p>
    <w:p w14:paraId="3314DC58" w14:textId="422C477F" w:rsidR="00424089" w:rsidRPr="00CE2C87" w:rsidRDefault="00424089" w:rsidP="00424089">
      <w:pPr>
        <w:jc w:val="center"/>
        <w:rPr>
          <w:rFonts w:ascii="Calibri" w:hAnsi="Calibri" w:cs="Calibri"/>
          <w:sz w:val="22"/>
          <w:szCs w:val="22"/>
        </w:rPr>
      </w:pPr>
      <w:r w:rsidRPr="00CE2C87">
        <w:rPr>
          <w:rFonts w:ascii="Calibri" w:hAnsi="Calibri" w:cs="Calibri"/>
          <w:sz w:val="22"/>
          <w:szCs w:val="22"/>
        </w:rPr>
        <w:t xml:space="preserve">April </w:t>
      </w:r>
      <w:r>
        <w:rPr>
          <w:rFonts w:ascii="Calibri" w:hAnsi="Calibri" w:cs="Calibri"/>
          <w:sz w:val="22"/>
          <w:szCs w:val="22"/>
        </w:rPr>
        <w:t>19</w:t>
      </w:r>
      <w:r w:rsidRPr="00CE2C87">
        <w:rPr>
          <w:rFonts w:ascii="Calibri" w:hAnsi="Calibri" w:cs="Calibri"/>
          <w:sz w:val="22"/>
          <w:szCs w:val="22"/>
        </w:rPr>
        <w:t>, 2026</w:t>
      </w:r>
    </w:p>
    <w:p w14:paraId="03132C45" w14:textId="77777777" w:rsidR="007D3099" w:rsidRDefault="007D3099"/>
    <w:p w14:paraId="43AB327D" w14:textId="77777777" w:rsidR="007D3099" w:rsidRDefault="007D3099"/>
    <w:p w14:paraId="7A1B7F3F" w14:textId="77777777" w:rsidR="007D3099" w:rsidRDefault="007D3099"/>
    <w:p w14:paraId="313DABCC" w14:textId="25F483FB" w:rsidR="007D3099" w:rsidRDefault="007D3099">
      <w:r>
        <w:br/>
      </w:r>
    </w:p>
    <w:p w14:paraId="082394D7" w14:textId="77777777" w:rsidR="007D3099" w:rsidRDefault="007D3099"/>
    <w:p w14:paraId="385346C5" w14:textId="77777777" w:rsidR="007D3099" w:rsidRDefault="007D3099"/>
    <w:p w14:paraId="2BDE2D1E" w14:textId="77777777" w:rsidR="007D3099" w:rsidRDefault="007D3099"/>
    <w:p w14:paraId="0BEBF6F8" w14:textId="77777777" w:rsidR="007D3099" w:rsidRDefault="007D3099"/>
    <w:p w14:paraId="4569D5D3" w14:textId="77777777" w:rsidR="00F7553C" w:rsidRDefault="00F7553C" w:rsidP="00F7553C">
      <w:pPr>
        <w:spacing w:line="240" w:lineRule="auto"/>
        <w:rPr>
          <w:rFonts w:ascii="Calibri" w:hAnsi="Calibri" w:cs="Calibri"/>
          <w:b/>
          <w:bCs/>
          <w:sz w:val="22"/>
          <w:szCs w:val="22"/>
          <w:u w:val="single"/>
        </w:rPr>
      </w:pPr>
    </w:p>
    <w:p w14:paraId="220041FB" w14:textId="77777777" w:rsidR="00F7553C" w:rsidRDefault="00F7553C" w:rsidP="00F7553C">
      <w:pPr>
        <w:spacing w:line="240" w:lineRule="auto"/>
        <w:rPr>
          <w:rFonts w:ascii="Calibri" w:hAnsi="Calibri" w:cs="Calibri"/>
          <w:b/>
          <w:bCs/>
          <w:sz w:val="22"/>
          <w:szCs w:val="22"/>
          <w:u w:val="single"/>
        </w:rPr>
      </w:pPr>
    </w:p>
    <w:p w14:paraId="5C2F5D60" w14:textId="77777777" w:rsidR="00424089" w:rsidRDefault="00424089" w:rsidP="00F7553C">
      <w:pPr>
        <w:spacing w:line="240" w:lineRule="auto"/>
        <w:rPr>
          <w:rFonts w:ascii="Calibri" w:hAnsi="Calibri" w:cs="Calibri"/>
          <w:b/>
          <w:bCs/>
          <w:sz w:val="22"/>
          <w:szCs w:val="22"/>
          <w:u w:val="single"/>
        </w:rPr>
      </w:pPr>
    </w:p>
    <w:p w14:paraId="29D14B42" w14:textId="36D83290" w:rsidR="00CB697F" w:rsidRPr="00F7553C" w:rsidRDefault="00CB697F" w:rsidP="00F7553C">
      <w:pPr>
        <w:spacing w:line="240" w:lineRule="auto"/>
        <w:rPr>
          <w:rFonts w:ascii="Calibri" w:hAnsi="Calibri" w:cs="Calibri"/>
          <w:b/>
          <w:bCs/>
          <w:sz w:val="22"/>
          <w:szCs w:val="22"/>
          <w:u w:val="single"/>
        </w:rPr>
      </w:pPr>
      <w:r w:rsidRPr="00F7553C">
        <w:rPr>
          <w:rFonts w:ascii="Calibri" w:hAnsi="Calibri" w:cs="Calibri"/>
          <w:b/>
          <w:bCs/>
          <w:sz w:val="22"/>
          <w:szCs w:val="22"/>
          <w:u w:val="single"/>
        </w:rPr>
        <w:t>1. Methodological Approach</w:t>
      </w:r>
      <w:r w:rsidR="006B5DB1" w:rsidRPr="00F7553C">
        <w:rPr>
          <w:rFonts w:ascii="Calibri" w:hAnsi="Calibri" w:cs="Calibri"/>
          <w:b/>
          <w:bCs/>
          <w:sz w:val="22"/>
          <w:szCs w:val="22"/>
          <w:u w:val="single"/>
        </w:rPr>
        <w:t xml:space="preserve"> (Veronica </w:t>
      </w:r>
      <w:r w:rsidR="00424089">
        <w:rPr>
          <w:rFonts w:ascii="Calibri" w:hAnsi="Calibri" w:cs="Calibri"/>
          <w:b/>
          <w:bCs/>
          <w:sz w:val="22"/>
          <w:szCs w:val="22"/>
          <w:u w:val="single"/>
        </w:rPr>
        <w:t>Gonzalez)</w:t>
      </w:r>
    </w:p>
    <w:p w14:paraId="10C06361" w14:textId="20BAEC02" w:rsidR="006B5DB1" w:rsidRPr="006B5DB1" w:rsidRDefault="006B5DB1" w:rsidP="00F7553C">
      <w:pPr>
        <w:spacing w:line="480" w:lineRule="auto"/>
        <w:rPr>
          <w:rFonts w:ascii="Calibri" w:hAnsi="Calibri" w:cs="Calibri"/>
          <w:sz w:val="22"/>
          <w:szCs w:val="22"/>
        </w:rPr>
      </w:pPr>
      <w:r w:rsidRPr="006B5DB1">
        <w:rPr>
          <w:rFonts w:ascii="Calibri" w:hAnsi="Calibri" w:cs="Calibri"/>
          <w:sz w:val="22"/>
          <w:szCs w:val="22"/>
        </w:rPr>
        <w:lastRenderedPageBreak/>
        <w:t>This study is identified as quantitative because it focuses on collecting and analyzing numerical data, specifically time to reunification, to examine measurable relationships between variables. It explores how child welfare worker characteristics, such as caseload size, are associated with reunification outcomes. A quantitative approach allows for the analysis of existing case records to identify patterns and relationships across cases.</w:t>
      </w:r>
    </w:p>
    <w:p w14:paraId="1222D993" w14:textId="2B7A50F9" w:rsidR="00CB697F" w:rsidRPr="00CB697F" w:rsidRDefault="00CB697F" w:rsidP="00F7553C">
      <w:pPr>
        <w:spacing w:line="240" w:lineRule="auto"/>
        <w:rPr>
          <w:rFonts w:ascii="Calibri" w:hAnsi="Calibri" w:cs="Calibri"/>
          <w:b/>
          <w:bCs/>
          <w:sz w:val="22"/>
          <w:szCs w:val="22"/>
          <w:u w:val="single"/>
        </w:rPr>
      </w:pPr>
      <w:r w:rsidRPr="00CB697F">
        <w:rPr>
          <w:rFonts w:ascii="Calibri" w:hAnsi="Calibri" w:cs="Calibri"/>
          <w:b/>
          <w:bCs/>
          <w:sz w:val="22"/>
          <w:szCs w:val="22"/>
          <w:u w:val="single"/>
        </w:rPr>
        <w:t>2. Research Design Type</w:t>
      </w:r>
      <w:r w:rsidR="006B5DB1" w:rsidRPr="00F7553C">
        <w:rPr>
          <w:rFonts w:ascii="Calibri" w:hAnsi="Calibri" w:cs="Calibri"/>
          <w:b/>
          <w:bCs/>
          <w:sz w:val="22"/>
          <w:szCs w:val="22"/>
          <w:u w:val="single"/>
        </w:rPr>
        <w:t xml:space="preserve"> (Celine Avedian)</w:t>
      </w:r>
    </w:p>
    <w:p w14:paraId="362BE8BF" w14:textId="0E4B74DE" w:rsidR="006B5DB1" w:rsidRPr="006B5DB1" w:rsidRDefault="006B5DB1" w:rsidP="006B5DB1">
      <w:pPr>
        <w:spacing w:line="480" w:lineRule="auto"/>
        <w:rPr>
          <w:rFonts w:ascii="Calibri" w:hAnsi="Calibri" w:cs="Calibri"/>
          <w:sz w:val="22"/>
          <w:szCs w:val="22"/>
        </w:rPr>
      </w:pPr>
      <w:r w:rsidRPr="006B5DB1">
        <w:rPr>
          <w:rFonts w:ascii="Calibri" w:hAnsi="Calibri" w:cs="Calibri"/>
          <w:sz w:val="22"/>
          <w:szCs w:val="22"/>
        </w:rPr>
        <w:t>This study will use a cross-sectional design</w:t>
      </w:r>
      <w:r>
        <w:rPr>
          <w:rFonts w:ascii="Calibri" w:hAnsi="Calibri" w:cs="Calibri"/>
          <w:sz w:val="22"/>
          <w:szCs w:val="22"/>
        </w:rPr>
        <w:t>, as it</w:t>
      </w:r>
      <w:r w:rsidRPr="006B5DB1">
        <w:rPr>
          <w:rFonts w:ascii="Calibri" w:hAnsi="Calibri" w:cs="Calibri"/>
          <w:sz w:val="22"/>
          <w:szCs w:val="22"/>
        </w:rPr>
        <w:t xml:space="preserve"> </w:t>
      </w:r>
      <w:r>
        <w:rPr>
          <w:rFonts w:ascii="Calibri" w:hAnsi="Calibri" w:cs="Calibri"/>
          <w:sz w:val="22"/>
          <w:szCs w:val="22"/>
        </w:rPr>
        <w:t>examines</w:t>
      </w:r>
      <w:r w:rsidRPr="006B5DB1">
        <w:rPr>
          <w:rFonts w:ascii="Calibri" w:hAnsi="Calibri" w:cs="Calibri"/>
          <w:sz w:val="22"/>
          <w:szCs w:val="22"/>
        </w:rPr>
        <w:t xml:space="preserve"> data from one point in time across multiple cases. </w:t>
      </w:r>
      <w:r>
        <w:rPr>
          <w:rFonts w:ascii="Calibri" w:hAnsi="Calibri" w:cs="Calibri"/>
          <w:sz w:val="22"/>
          <w:szCs w:val="22"/>
        </w:rPr>
        <w:t>This approach allows for analysis of how</w:t>
      </w:r>
      <w:r w:rsidRPr="006B5DB1">
        <w:rPr>
          <w:rFonts w:ascii="Calibri" w:hAnsi="Calibri" w:cs="Calibri"/>
          <w:sz w:val="22"/>
          <w:szCs w:val="22"/>
        </w:rPr>
        <w:t xml:space="preserve"> caseload size is related to family reunification outcomes without </w:t>
      </w:r>
      <w:r>
        <w:rPr>
          <w:rFonts w:ascii="Calibri" w:hAnsi="Calibri" w:cs="Calibri"/>
          <w:sz w:val="22"/>
          <w:szCs w:val="22"/>
        </w:rPr>
        <w:t xml:space="preserve">tracking </w:t>
      </w:r>
      <w:r w:rsidRPr="006B5DB1">
        <w:rPr>
          <w:rFonts w:ascii="Calibri" w:hAnsi="Calibri" w:cs="Calibri"/>
          <w:sz w:val="22"/>
          <w:szCs w:val="22"/>
        </w:rPr>
        <w:t xml:space="preserve">families </w:t>
      </w:r>
      <w:r>
        <w:rPr>
          <w:rFonts w:ascii="Calibri" w:hAnsi="Calibri" w:cs="Calibri"/>
          <w:sz w:val="22"/>
          <w:szCs w:val="22"/>
        </w:rPr>
        <w:t xml:space="preserve">and their cases </w:t>
      </w:r>
      <w:r w:rsidRPr="006B5DB1">
        <w:rPr>
          <w:rFonts w:ascii="Calibri" w:hAnsi="Calibri" w:cs="Calibri"/>
          <w:sz w:val="22"/>
          <w:szCs w:val="22"/>
        </w:rPr>
        <w:t>over time. A cross-sectional design is</w:t>
      </w:r>
      <w:r w:rsidR="00861DCC">
        <w:rPr>
          <w:rFonts w:ascii="Calibri" w:hAnsi="Calibri" w:cs="Calibri"/>
          <w:sz w:val="22"/>
          <w:szCs w:val="22"/>
        </w:rPr>
        <w:t xml:space="preserve"> feasible and</w:t>
      </w:r>
      <w:r w:rsidRPr="006B5DB1">
        <w:rPr>
          <w:rFonts w:ascii="Calibri" w:hAnsi="Calibri" w:cs="Calibri"/>
          <w:sz w:val="22"/>
          <w:szCs w:val="22"/>
        </w:rPr>
        <w:t xml:space="preserve"> practical for public agencies because it uses existing case data and can identify patterns quickly to support decision-making. </w:t>
      </w:r>
    </w:p>
    <w:p w14:paraId="48FC6B8E" w14:textId="34119E63" w:rsidR="00CB697F" w:rsidRPr="00CB697F" w:rsidRDefault="00CB697F" w:rsidP="00F7553C">
      <w:pPr>
        <w:spacing w:line="240" w:lineRule="auto"/>
        <w:rPr>
          <w:rFonts w:ascii="Calibri" w:hAnsi="Calibri" w:cs="Calibri"/>
          <w:b/>
          <w:bCs/>
          <w:sz w:val="22"/>
          <w:szCs w:val="22"/>
          <w:u w:val="single"/>
        </w:rPr>
      </w:pPr>
      <w:r w:rsidRPr="00CB697F">
        <w:rPr>
          <w:rFonts w:ascii="Calibri" w:hAnsi="Calibri" w:cs="Calibri"/>
          <w:b/>
          <w:bCs/>
          <w:sz w:val="22"/>
          <w:szCs w:val="22"/>
          <w:u w:val="single"/>
        </w:rPr>
        <w:t>3. Operationalization of Key Variables</w:t>
      </w:r>
      <w:r w:rsidR="00861DCC" w:rsidRPr="00F7553C">
        <w:rPr>
          <w:rFonts w:ascii="Calibri" w:hAnsi="Calibri" w:cs="Calibri"/>
          <w:b/>
          <w:bCs/>
          <w:sz w:val="22"/>
          <w:szCs w:val="22"/>
          <w:u w:val="single"/>
        </w:rPr>
        <w:t xml:space="preserve"> (Alice Sarkisyan) </w:t>
      </w:r>
    </w:p>
    <w:p w14:paraId="16B6FC4F" w14:textId="77777777" w:rsidR="00CB697F" w:rsidRPr="00CB697F" w:rsidRDefault="00CB697F" w:rsidP="00CB697F">
      <w:pPr>
        <w:spacing w:line="480" w:lineRule="auto"/>
        <w:rPr>
          <w:rFonts w:ascii="Calibri" w:hAnsi="Calibri" w:cs="Calibri"/>
          <w:sz w:val="22"/>
          <w:szCs w:val="22"/>
        </w:rPr>
      </w:pPr>
      <w:r w:rsidRPr="00CB697F">
        <w:rPr>
          <w:rFonts w:ascii="Calibri" w:hAnsi="Calibri" w:cs="Calibri"/>
          <w:sz w:val="22"/>
          <w:szCs w:val="22"/>
        </w:rPr>
        <w:t>Operationalization refers to the process of translating abstract concepts into measurable indicators. In this study, key concepts are measured using DCFS administrative records and case management data systems, which serve as the primary data source.</w:t>
      </w:r>
    </w:p>
    <w:p w14:paraId="04FA0E63" w14:textId="5BC22759" w:rsidR="00CB697F" w:rsidRPr="00CB697F" w:rsidRDefault="00CB697F" w:rsidP="00CB697F">
      <w:pPr>
        <w:spacing w:line="240" w:lineRule="auto"/>
        <w:rPr>
          <w:rFonts w:ascii="Calibri" w:hAnsi="Calibri" w:cs="Calibri"/>
          <w:sz w:val="22"/>
          <w:szCs w:val="22"/>
          <w:u w:val="single"/>
        </w:rPr>
      </w:pPr>
      <w:r w:rsidRPr="00CB697F">
        <w:rPr>
          <w:rFonts w:ascii="Calibri" w:hAnsi="Calibri" w:cs="Calibri"/>
          <w:sz w:val="22"/>
          <w:szCs w:val="22"/>
          <w:u w:val="single"/>
        </w:rPr>
        <w:t>Dependent Variable: Family Reunification Outcomes</w:t>
      </w:r>
      <w:r w:rsidR="00861DCC">
        <w:rPr>
          <w:rFonts w:ascii="Calibri" w:hAnsi="Calibri" w:cs="Calibri"/>
          <w:sz w:val="22"/>
          <w:szCs w:val="22"/>
          <w:u w:val="single"/>
        </w:rPr>
        <w:t>:</w:t>
      </w:r>
    </w:p>
    <w:p w14:paraId="08069B79" w14:textId="77777777" w:rsidR="00CB697F" w:rsidRPr="00CB697F" w:rsidRDefault="00CB697F" w:rsidP="00CB697F">
      <w:pPr>
        <w:numPr>
          <w:ilvl w:val="0"/>
          <w:numId w:val="12"/>
        </w:numPr>
        <w:spacing w:line="240" w:lineRule="auto"/>
        <w:rPr>
          <w:rFonts w:ascii="Calibri" w:hAnsi="Calibri" w:cs="Calibri"/>
          <w:sz w:val="22"/>
          <w:szCs w:val="22"/>
        </w:rPr>
      </w:pPr>
      <w:r w:rsidRPr="00CB697F">
        <w:rPr>
          <w:rFonts w:ascii="Calibri" w:hAnsi="Calibri" w:cs="Calibri"/>
          <w:sz w:val="22"/>
          <w:szCs w:val="22"/>
        </w:rPr>
        <w:t xml:space="preserve">Reunification within 12 months (yes/no) → Nominal </w:t>
      </w:r>
    </w:p>
    <w:p w14:paraId="00872A95" w14:textId="77777777" w:rsidR="00CB697F" w:rsidRPr="00CB697F" w:rsidRDefault="00CB697F" w:rsidP="00CB697F">
      <w:pPr>
        <w:numPr>
          <w:ilvl w:val="0"/>
          <w:numId w:val="12"/>
        </w:numPr>
        <w:spacing w:line="240" w:lineRule="auto"/>
        <w:rPr>
          <w:rFonts w:ascii="Calibri" w:hAnsi="Calibri" w:cs="Calibri"/>
          <w:sz w:val="22"/>
          <w:szCs w:val="22"/>
        </w:rPr>
      </w:pPr>
      <w:r w:rsidRPr="00CB697F">
        <w:rPr>
          <w:rFonts w:ascii="Calibri" w:hAnsi="Calibri" w:cs="Calibri"/>
          <w:sz w:val="22"/>
          <w:szCs w:val="22"/>
        </w:rPr>
        <w:t xml:space="preserve">Time to reunification in months → Ratio </w:t>
      </w:r>
    </w:p>
    <w:p w14:paraId="5C793D64" w14:textId="77777777" w:rsidR="00CB697F" w:rsidRPr="00CB697F" w:rsidRDefault="00CB697F" w:rsidP="00CB697F">
      <w:pPr>
        <w:numPr>
          <w:ilvl w:val="0"/>
          <w:numId w:val="12"/>
        </w:numPr>
        <w:spacing w:line="240" w:lineRule="auto"/>
        <w:rPr>
          <w:rFonts w:ascii="Calibri" w:hAnsi="Calibri" w:cs="Calibri"/>
          <w:sz w:val="22"/>
          <w:szCs w:val="22"/>
        </w:rPr>
      </w:pPr>
      <w:r w:rsidRPr="00CB697F">
        <w:rPr>
          <w:rFonts w:ascii="Calibri" w:hAnsi="Calibri" w:cs="Calibri"/>
          <w:sz w:val="22"/>
          <w:szCs w:val="22"/>
        </w:rPr>
        <w:t xml:space="preserve">Data source: DCFS administrative case outcome records </w:t>
      </w:r>
    </w:p>
    <w:p w14:paraId="32350610" w14:textId="426C5ED8" w:rsidR="00CB697F" w:rsidRPr="00CB697F" w:rsidRDefault="00CB697F" w:rsidP="00CB697F">
      <w:pPr>
        <w:spacing w:line="240" w:lineRule="auto"/>
        <w:rPr>
          <w:rFonts w:ascii="Calibri" w:hAnsi="Calibri" w:cs="Calibri"/>
          <w:sz w:val="22"/>
          <w:szCs w:val="22"/>
          <w:u w:val="single"/>
        </w:rPr>
      </w:pPr>
      <w:r w:rsidRPr="00CB697F">
        <w:rPr>
          <w:rFonts w:ascii="Calibri" w:hAnsi="Calibri" w:cs="Calibri"/>
          <w:sz w:val="22"/>
          <w:szCs w:val="22"/>
          <w:u w:val="single"/>
        </w:rPr>
        <w:t>Independent Variables</w:t>
      </w:r>
      <w:r w:rsidR="00861DCC">
        <w:rPr>
          <w:rFonts w:ascii="Calibri" w:hAnsi="Calibri" w:cs="Calibri"/>
          <w:sz w:val="22"/>
          <w:szCs w:val="22"/>
          <w:u w:val="single"/>
        </w:rPr>
        <w:t>:</w:t>
      </w:r>
    </w:p>
    <w:p w14:paraId="373665DC" w14:textId="5F70782B" w:rsidR="00CB697F" w:rsidRPr="00861DCC" w:rsidRDefault="00CB697F" w:rsidP="00861DCC">
      <w:pPr>
        <w:pStyle w:val="ListParagraph"/>
        <w:numPr>
          <w:ilvl w:val="0"/>
          <w:numId w:val="13"/>
        </w:numPr>
        <w:spacing w:line="240" w:lineRule="auto"/>
        <w:rPr>
          <w:rFonts w:ascii="Calibri" w:hAnsi="Calibri" w:cs="Calibri"/>
          <w:sz w:val="22"/>
          <w:szCs w:val="22"/>
        </w:rPr>
      </w:pPr>
      <w:r w:rsidRPr="00861DCC">
        <w:rPr>
          <w:rFonts w:ascii="Calibri" w:hAnsi="Calibri" w:cs="Calibri"/>
          <w:sz w:val="22"/>
          <w:szCs w:val="22"/>
        </w:rPr>
        <w:t xml:space="preserve">Caseload Size (Children’s Social Worker) </w:t>
      </w:r>
    </w:p>
    <w:p w14:paraId="3CEE7ECA"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Number of active cases assigned to a worker → Ratio </w:t>
      </w:r>
    </w:p>
    <w:p w14:paraId="2482EB5E"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Categorized as low (1–5), medium (6–10), high (11–15) → Ordinal </w:t>
      </w:r>
    </w:p>
    <w:p w14:paraId="4D8C42C6"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Data source: DCFS administrative workload data </w:t>
      </w:r>
    </w:p>
    <w:p w14:paraId="18EA86AA" w14:textId="77777777" w:rsidR="00CB697F" w:rsidRPr="00CB697F" w:rsidRDefault="00CB697F" w:rsidP="00CB697F">
      <w:pPr>
        <w:numPr>
          <w:ilvl w:val="0"/>
          <w:numId w:val="13"/>
        </w:numPr>
        <w:spacing w:line="240" w:lineRule="auto"/>
        <w:rPr>
          <w:rFonts w:ascii="Calibri" w:hAnsi="Calibri" w:cs="Calibri"/>
          <w:sz w:val="22"/>
          <w:szCs w:val="22"/>
        </w:rPr>
      </w:pPr>
      <w:r w:rsidRPr="00CB697F">
        <w:rPr>
          <w:rFonts w:ascii="Calibri" w:hAnsi="Calibri" w:cs="Calibri"/>
          <w:sz w:val="22"/>
          <w:szCs w:val="22"/>
        </w:rPr>
        <w:t xml:space="preserve">Family Engagement </w:t>
      </w:r>
    </w:p>
    <w:p w14:paraId="783CEE56"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Frequency of documented social worker visits or contacts with the family → Ratio </w:t>
      </w:r>
    </w:p>
    <w:p w14:paraId="54905D7D"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lastRenderedPageBreak/>
        <w:t xml:space="preserve">Data source: DCFS case notes and contact logs </w:t>
      </w:r>
    </w:p>
    <w:p w14:paraId="415F752D" w14:textId="77777777" w:rsidR="00CB697F" w:rsidRPr="00CB697F" w:rsidRDefault="00CB697F" w:rsidP="00CB697F">
      <w:pPr>
        <w:numPr>
          <w:ilvl w:val="0"/>
          <w:numId w:val="13"/>
        </w:numPr>
        <w:spacing w:line="240" w:lineRule="auto"/>
        <w:rPr>
          <w:rFonts w:ascii="Calibri" w:hAnsi="Calibri" w:cs="Calibri"/>
          <w:sz w:val="22"/>
          <w:szCs w:val="22"/>
        </w:rPr>
      </w:pPr>
      <w:r w:rsidRPr="00CB697F">
        <w:rPr>
          <w:rFonts w:ascii="Calibri" w:hAnsi="Calibri" w:cs="Calibri"/>
          <w:sz w:val="22"/>
          <w:szCs w:val="22"/>
        </w:rPr>
        <w:t xml:space="preserve">Service Coordination </w:t>
      </w:r>
    </w:p>
    <w:p w14:paraId="061F275A"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Time from case opening to referral for services → Ratio </w:t>
      </w:r>
    </w:p>
    <w:p w14:paraId="74355FAA"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Completion of court-ordered services (completed vs. not completed) → Nominal </w:t>
      </w:r>
    </w:p>
    <w:p w14:paraId="3EA3F0E6"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Number of services accessed → Ratio </w:t>
      </w:r>
    </w:p>
    <w:p w14:paraId="325D7003" w14:textId="77777777" w:rsidR="00CB697F" w:rsidRPr="00CB697F" w:rsidRDefault="00CB697F" w:rsidP="00CB697F">
      <w:pPr>
        <w:numPr>
          <w:ilvl w:val="1"/>
          <w:numId w:val="13"/>
        </w:numPr>
        <w:spacing w:line="240" w:lineRule="auto"/>
        <w:rPr>
          <w:rFonts w:ascii="Calibri" w:hAnsi="Calibri" w:cs="Calibri"/>
          <w:sz w:val="22"/>
          <w:szCs w:val="22"/>
        </w:rPr>
      </w:pPr>
      <w:r w:rsidRPr="00CB697F">
        <w:rPr>
          <w:rFonts w:ascii="Calibri" w:hAnsi="Calibri" w:cs="Calibri"/>
          <w:sz w:val="22"/>
          <w:szCs w:val="22"/>
        </w:rPr>
        <w:t xml:space="preserve">Data source: DCFS service referral and case management records </w:t>
      </w:r>
    </w:p>
    <w:p w14:paraId="459EEF5E" w14:textId="377D9003" w:rsidR="00CB697F" w:rsidRPr="00CB697F" w:rsidRDefault="00CB697F" w:rsidP="00861DCC">
      <w:pPr>
        <w:spacing w:line="240" w:lineRule="auto"/>
        <w:rPr>
          <w:rFonts w:ascii="Calibri" w:hAnsi="Calibri" w:cs="Calibri"/>
          <w:sz w:val="22"/>
          <w:szCs w:val="22"/>
          <w:u w:val="single"/>
        </w:rPr>
      </w:pPr>
      <w:r w:rsidRPr="00CB697F">
        <w:rPr>
          <w:rFonts w:ascii="Calibri" w:hAnsi="Calibri" w:cs="Calibri"/>
          <w:sz w:val="22"/>
          <w:szCs w:val="22"/>
          <w:u w:val="single"/>
        </w:rPr>
        <w:t>Control Variables</w:t>
      </w:r>
      <w:r w:rsidR="00F7553C">
        <w:rPr>
          <w:rFonts w:ascii="Calibri" w:hAnsi="Calibri" w:cs="Calibri"/>
          <w:sz w:val="22"/>
          <w:szCs w:val="22"/>
          <w:u w:val="single"/>
        </w:rPr>
        <w:t>:</w:t>
      </w:r>
    </w:p>
    <w:p w14:paraId="7D51BF8A" w14:textId="77777777" w:rsidR="00CB697F" w:rsidRPr="00CB697F" w:rsidRDefault="00CB697F" w:rsidP="00861DCC">
      <w:pPr>
        <w:spacing w:line="240" w:lineRule="auto"/>
        <w:rPr>
          <w:rFonts w:ascii="Calibri" w:hAnsi="Calibri" w:cs="Calibri"/>
          <w:sz w:val="22"/>
          <w:szCs w:val="22"/>
        </w:rPr>
      </w:pPr>
      <w:r w:rsidRPr="00CB697F">
        <w:rPr>
          <w:rFonts w:ascii="Calibri" w:hAnsi="Calibri" w:cs="Calibri"/>
          <w:sz w:val="22"/>
          <w:szCs w:val="22"/>
        </w:rPr>
        <w:t>Control variables are included to account for differences in case characteristics that may influence reunification outcomes, allowing for a more accurate assessment of relationships between the main variables.</w:t>
      </w:r>
    </w:p>
    <w:p w14:paraId="442DFB88" w14:textId="77777777" w:rsidR="00CB697F" w:rsidRPr="00CB697F" w:rsidRDefault="00CB697F" w:rsidP="00CB697F">
      <w:pPr>
        <w:numPr>
          <w:ilvl w:val="0"/>
          <w:numId w:val="14"/>
        </w:numPr>
        <w:spacing w:line="240" w:lineRule="auto"/>
        <w:rPr>
          <w:rFonts w:ascii="Calibri" w:hAnsi="Calibri" w:cs="Calibri"/>
          <w:sz w:val="22"/>
          <w:szCs w:val="22"/>
        </w:rPr>
      </w:pPr>
      <w:r w:rsidRPr="00CB697F">
        <w:rPr>
          <w:rFonts w:ascii="Calibri" w:hAnsi="Calibri" w:cs="Calibri"/>
          <w:sz w:val="22"/>
          <w:szCs w:val="22"/>
        </w:rPr>
        <w:t xml:space="preserve">Child age → Ratio </w:t>
      </w:r>
    </w:p>
    <w:p w14:paraId="3317678D" w14:textId="77777777" w:rsidR="00CB697F" w:rsidRPr="00CB697F" w:rsidRDefault="00CB697F" w:rsidP="00CB697F">
      <w:pPr>
        <w:numPr>
          <w:ilvl w:val="0"/>
          <w:numId w:val="14"/>
        </w:numPr>
        <w:spacing w:line="240" w:lineRule="auto"/>
        <w:rPr>
          <w:rFonts w:ascii="Calibri" w:hAnsi="Calibri" w:cs="Calibri"/>
          <w:sz w:val="22"/>
          <w:szCs w:val="22"/>
        </w:rPr>
      </w:pPr>
      <w:r w:rsidRPr="00CB697F">
        <w:rPr>
          <w:rFonts w:ascii="Calibri" w:hAnsi="Calibri" w:cs="Calibri"/>
          <w:sz w:val="22"/>
          <w:szCs w:val="22"/>
        </w:rPr>
        <w:t xml:space="preserve">Placement type → Nominal </w:t>
      </w:r>
    </w:p>
    <w:p w14:paraId="23EC4937" w14:textId="77777777" w:rsidR="00CB697F" w:rsidRPr="00CB697F" w:rsidRDefault="00CB697F" w:rsidP="00CB697F">
      <w:pPr>
        <w:numPr>
          <w:ilvl w:val="0"/>
          <w:numId w:val="14"/>
        </w:numPr>
        <w:spacing w:line="240" w:lineRule="auto"/>
        <w:rPr>
          <w:rFonts w:ascii="Calibri" w:hAnsi="Calibri" w:cs="Calibri"/>
          <w:sz w:val="22"/>
          <w:szCs w:val="22"/>
        </w:rPr>
      </w:pPr>
      <w:r w:rsidRPr="00CB697F">
        <w:rPr>
          <w:rFonts w:ascii="Calibri" w:hAnsi="Calibri" w:cs="Calibri"/>
          <w:sz w:val="22"/>
          <w:szCs w:val="22"/>
        </w:rPr>
        <w:t xml:space="preserve">Family socioeconomic status → Ordinal / Ratio </w:t>
      </w:r>
    </w:p>
    <w:p w14:paraId="3AC19747" w14:textId="77777777" w:rsidR="00CB697F" w:rsidRPr="00CB697F" w:rsidRDefault="00CB697F" w:rsidP="00CB697F">
      <w:pPr>
        <w:numPr>
          <w:ilvl w:val="0"/>
          <w:numId w:val="14"/>
        </w:numPr>
        <w:spacing w:line="240" w:lineRule="auto"/>
        <w:rPr>
          <w:rFonts w:ascii="Calibri" w:hAnsi="Calibri" w:cs="Calibri"/>
          <w:sz w:val="22"/>
          <w:szCs w:val="22"/>
        </w:rPr>
      </w:pPr>
      <w:r w:rsidRPr="00CB697F">
        <w:rPr>
          <w:rFonts w:ascii="Calibri" w:hAnsi="Calibri" w:cs="Calibri"/>
          <w:sz w:val="22"/>
          <w:szCs w:val="22"/>
        </w:rPr>
        <w:t xml:space="preserve">Case risk level → Ordinal </w:t>
      </w:r>
    </w:p>
    <w:p w14:paraId="2FD53F88" w14:textId="77777777" w:rsidR="00CB697F" w:rsidRPr="00CB697F" w:rsidRDefault="00CB697F" w:rsidP="00CB697F">
      <w:pPr>
        <w:numPr>
          <w:ilvl w:val="0"/>
          <w:numId w:val="14"/>
        </w:numPr>
        <w:spacing w:line="240" w:lineRule="auto"/>
        <w:rPr>
          <w:rFonts w:ascii="Calibri" w:hAnsi="Calibri" w:cs="Calibri"/>
          <w:sz w:val="22"/>
          <w:szCs w:val="22"/>
        </w:rPr>
      </w:pPr>
      <w:r w:rsidRPr="00CB697F">
        <w:rPr>
          <w:rFonts w:ascii="Calibri" w:hAnsi="Calibri" w:cs="Calibri"/>
          <w:sz w:val="22"/>
          <w:szCs w:val="22"/>
        </w:rPr>
        <w:t xml:space="preserve">Social worker characteristics (gender → nominal; education → ordinal; experience → ratio) </w:t>
      </w:r>
    </w:p>
    <w:p w14:paraId="22F31BDA" w14:textId="77777777" w:rsidR="00CB697F" w:rsidRPr="00CB697F" w:rsidRDefault="00CB697F" w:rsidP="00CB697F">
      <w:pPr>
        <w:spacing w:line="480" w:lineRule="auto"/>
        <w:rPr>
          <w:rFonts w:ascii="Calibri" w:hAnsi="Calibri" w:cs="Calibri"/>
          <w:sz w:val="22"/>
          <w:szCs w:val="22"/>
        </w:rPr>
      </w:pPr>
      <w:r w:rsidRPr="00CB697F">
        <w:rPr>
          <w:rFonts w:ascii="Calibri" w:hAnsi="Calibri" w:cs="Calibri"/>
          <w:sz w:val="22"/>
          <w:szCs w:val="22"/>
        </w:rPr>
        <w:t>These variables are included because they may independently affect reunification outcomes and help ensure that comparisons are made across similar cases.</w:t>
      </w:r>
    </w:p>
    <w:p w14:paraId="47B856C9" w14:textId="52D28C7C" w:rsidR="00CB697F" w:rsidRPr="00CB697F" w:rsidRDefault="00CB697F" w:rsidP="00F7553C">
      <w:pPr>
        <w:spacing w:line="240" w:lineRule="auto"/>
        <w:rPr>
          <w:rFonts w:ascii="Calibri" w:hAnsi="Calibri" w:cs="Calibri"/>
          <w:b/>
          <w:bCs/>
          <w:sz w:val="22"/>
          <w:szCs w:val="22"/>
        </w:rPr>
      </w:pPr>
      <w:r w:rsidRPr="00CB697F">
        <w:rPr>
          <w:rFonts w:ascii="Calibri" w:hAnsi="Calibri" w:cs="Calibri"/>
          <w:b/>
          <w:bCs/>
          <w:sz w:val="22"/>
          <w:szCs w:val="22"/>
          <w:u w:val="single"/>
        </w:rPr>
        <w:t>4. Data Collection Strategy</w:t>
      </w:r>
      <w:r w:rsidR="00F7553C" w:rsidRPr="00F7553C">
        <w:rPr>
          <w:rFonts w:ascii="Calibri" w:hAnsi="Calibri" w:cs="Calibri"/>
          <w:b/>
          <w:bCs/>
          <w:sz w:val="22"/>
          <w:szCs w:val="22"/>
          <w:u w:val="single"/>
        </w:rPr>
        <w:t xml:space="preserve"> (Mary Nowrouzi</w:t>
      </w:r>
      <w:r w:rsidR="00F7553C">
        <w:rPr>
          <w:rFonts w:ascii="Calibri" w:hAnsi="Calibri" w:cs="Calibri"/>
          <w:b/>
          <w:bCs/>
          <w:sz w:val="22"/>
          <w:szCs w:val="22"/>
        </w:rPr>
        <w:t>)</w:t>
      </w:r>
    </w:p>
    <w:p w14:paraId="61876FAE" w14:textId="3235C68A" w:rsidR="00E110CB" w:rsidRPr="00E110CB" w:rsidRDefault="00E110CB" w:rsidP="00E110CB">
      <w:pPr>
        <w:spacing w:line="480" w:lineRule="auto"/>
        <w:rPr>
          <w:rFonts w:ascii="Calibri" w:hAnsi="Calibri" w:cs="Calibri"/>
          <w:sz w:val="22"/>
          <w:szCs w:val="22"/>
        </w:rPr>
      </w:pPr>
      <w:r w:rsidRPr="00E110CB">
        <w:rPr>
          <w:rFonts w:ascii="Calibri" w:hAnsi="Calibri" w:cs="Calibri"/>
          <w:sz w:val="22"/>
          <w:szCs w:val="22"/>
        </w:rPr>
        <w:t>This study will rely on secondary data analysis of administrative data collected by DCFS</w:t>
      </w:r>
      <w:r>
        <w:rPr>
          <w:rFonts w:ascii="Calibri" w:hAnsi="Calibri" w:cs="Calibri"/>
          <w:sz w:val="22"/>
          <w:szCs w:val="22"/>
        </w:rPr>
        <w:t xml:space="preserve"> in a </w:t>
      </w:r>
      <w:r w:rsidR="00F7553C">
        <w:rPr>
          <w:rFonts w:ascii="Calibri" w:hAnsi="Calibri" w:cs="Calibri"/>
          <w:sz w:val="22"/>
          <w:szCs w:val="22"/>
        </w:rPr>
        <w:t>three-year</w:t>
      </w:r>
      <w:r>
        <w:rPr>
          <w:rFonts w:ascii="Calibri" w:hAnsi="Calibri" w:cs="Calibri"/>
          <w:sz w:val="22"/>
          <w:szCs w:val="22"/>
        </w:rPr>
        <w:t xml:space="preserve"> period. </w:t>
      </w:r>
    </w:p>
    <w:p w14:paraId="23D463CB" w14:textId="77777777" w:rsidR="00E110CB" w:rsidRPr="00E110CB" w:rsidRDefault="00E110CB" w:rsidP="00F7553C">
      <w:pPr>
        <w:spacing w:line="240" w:lineRule="auto"/>
        <w:rPr>
          <w:rFonts w:ascii="Calibri" w:hAnsi="Calibri" w:cs="Calibri"/>
          <w:sz w:val="22"/>
          <w:szCs w:val="22"/>
          <w:u w:val="single"/>
        </w:rPr>
      </w:pPr>
      <w:r w:rsidRPr="00E110CB">
        <w:rPr>
          <w:rFonts w:ascii="Calibri" w:hAnsi="Calibri" w:cs="Calibri"/>
          <w:sz w:val="22"/>
          <w:szCs w:val="22"/>
          <w:u w:val="single"/>
        </w:rPr>
        <w:t>Data Source</w:t>
      </w:r>
    </w:p>
    <w:p w14:paraId="260526B5" w14:textId="77777777" w:rsidR="00E110CB" w:rsidRPr="00E110CB" w:rsidRDefault="00E110CB" w:rsidP="00E110CB">
      <w:pPr>
        <w:numPr>
          <w:ilvl w:val="0"/>
          <w:numId w:val="16"/>
        </w:numPr>
        <w:spacing w:line="240" w:lineRule="auto"/>
        <w:rPr>
          <w:rFonts w:ascii="Calibri" w:hAnsi="Calibri" w:cs="Calibri"/>
          <w:sz w:val="22"/>
          <w:szCs w:val="22"/>
        </w:rPr>
      </w:pPr>
      <w:r w:rsidRPr="00E110CB">
        <w:rPr>
          <w:rFonts w:ascii="Calibri" w:hAnsi="Calibri" w:cs="Calibri"/>
          <w:sz w:val="22"/>
          <w:szCs w:val="22"/>
        </w:rPr>
        <w:t xml:space="preserve">Los Angeles County DCFS administrative databases </w:t>
      </w:r>
    </w:p>
    <w:p w14:paraId="2EAABDEE" w14:textId="77777777" w:rsidR="00E110CB" w:rsidRPr="00E110CB" w:rsidRDefault="00E110CB" w:rsidP="00E110CB">
      <w:pPr>
        <w:numPr>
          <w:ilvl w:val="0"/>
          <w:numId w:val="16"/>
        </w:numPr>
        <w:spacing w:line="240" w:lineRule="auto"/>
        <w:rPr>
          <w:rFonts w:ascii="Calibri" w:hAnsi="Calibri" w:cs="Calibri"/>
          <w:sz w:val="22"/>
          <w:szCs w:val="22"/>
        </w:rPr>
      </w:pPr>
      <w:r w:rsidRPr="00E110CB">
        <w:rPr>
          <w:rFonts w:ascii="Calibri" w:hAnsi="Calibri" w:cs="Calibri"/>
          <w:sz w:val="22"/>
          <w:szCs w:val="22"/>
        </w:rPr>
        <w:t xml:space="preserve">Case records, service logs, and workload reports </w:t>
      </w:r>
    </w:p>
    <w:p w14:paraId="67451492" w14:textId="77777777" w:rsidR="00E110CB" w:rsidRPr="00E110CB" w:rsidRDefault="00E110CB" w:rsidP="00E110CB">
      <w:pPr>
        <w:spacing w:line="240" w:lineRule="auto"/>
        <w:rPr>
          <w:rFonts w:ascii="Calibri" w:hAnsi="Calibri" w:cs="Calibri"/>
          <w:sz w:val="22"/>
          <w:szCs w:val="22"/>
          <w:u w:val="single"/>
        </w:rPr>
      </w:pPr>
      <w:r w:rsidRPr="00E110CB">
        <w:rPr>
          <w:rFonts w:ascii="Calibri" w:hAnsi="Calibri" w:cs="Calibri"/>
          <w:sz w:val="22"/>
          <w:szCs w:val="22"/>
          <w:u w:val="single"/>
        </w:rPr>
        <w:t>Mode of Data Collection</w:t>
      </w:r>
    </w:p>
    <w:p w14:paraId="60331F52" w14:textId="77777777" w:rsidR="00E110CB" w:rsidRPr="00E110CB" w:rsidRDefault="00E110CB" w:rsidP="00E110CB">
      <w:pPr>
        <w:numPr>
          <w:ilvl w:val="0"/>
          <w:numId w:val="17"/>
        </w:numPr>
        <w:spacing w:line="240" w:lineRule="auto"/>
        <w:rPr>
          <w:rFonts w:ascii="Calibri" w:hAnsi="Calibri" w:cs="Calibri"/>
          <w:sz w:val="22"/>
          <w:szCs w:val="22"/>
        </w:rPr>
      </w:pPr>
      <w:r w:rsidRPr="00E110CB">
        <w:rPr>
          <w:rFonts w:ascii="Calibri" w:hAnsi="Calibri" w:cs="Calibri"/>
          <w:sz w:val="22"/>
          <w:szCs w:val="22"/>
        </w:rPr>
        <w:t xml:space="preserve">No direct data collection from participants </w:t>
      </w:r>
    </w:p>
    <w:p w14:paraId="2445776A" w14:textId="77777777" w:rsidR="00E110CB" w:rsidRDefault="00E110CB" w:rsidP="00E110CB">
      <w:pPr>
        <w:numPr>
          <w:ilvl w:val="0"/>
          <w:numId w:val="17"/>
        </w:numPr>
        <w:spacing w:line="240" w:lineRule="auto"/>
        <w:rPr>
          <w:rFonts w:ascii="Calibri" w:hAnsi="Calibri" w:cs="Calibri"/>
          <w:sz w:val="22"/>
          <w:szCs w:val="22"/>
        </w:rPr>
      </w:pPr>
      <w:r w:rsidRPr="00E110CB">
        <w:rPr>
          <w:rFonts w:ascii="Calibri" w:hAnsi="Calibri" w:cs="Calibri"/>
          <w:sz w:val="22"/>
          <w:szCs w:val="22"/>
        </w:rPr>
        <w:t xml:space="preserve">Data will be extracted from existing records with appropriate permissions </w:t>
      </w:r>
    </w:p>
    <w:p w14:paraId="370B9042" w14:textId="3C00326A" w:rsidR="00F7553C" w:rsidRPr="00E110CB" w:rsidRDefault="00F7553C" w:rsidP="00F7553C">
      <w:pPr>
        <w:spacing w:line="480" w:lineRule="auto"/>
        <w:rPr>
          <w:rFonts w:ascii="Calibri" w:hAnsi="Calibri" w:cs="Calibri"/>
          <w:sz w:val="22"/>
          <w:szCs w:val="22"/>
        </w:rPr>
      </w:pPr>
      <w:r w:rsidRPr="00F7553C">
        <w:rPr>
          <w:rFonts w:ascii="Calibri" w:hAnsi="Calibri" w:cs="Calibri"/>
          <w:sz w:val="22"/>
          <w:szCs w:val="22"/>
        </w:rPr>
        <w:t>This approach minimizes burden on participants and avoids ethical concerns associated with direct interaction with vulnerable populations.</w:t>
      </w:r>
    </w:p>
    <w:p w14:paraId="1802E332" w14:textId="77777777" w:rsidR="00E110CB" w:rsidRPr="00E110CB" w:rsidRDefault="00E110CB" w:rsidP="00E110CB">
      <w:pPr>
        <w:spacing w:line="240" w:lineRule="auto"/>
        <w:rPr>
          <w:rFonts w:ascii="Calibri" w:hAnsi="Calibri" w:cs="Calibri"/>
          <w:sz w:val="22"/>
          <w:szCs w:val="22"/>
          <w:u w:val="single"/>
        </w:rPr>
      </w:pPr>
      <w:r w:rsidRPr="00E110CB">
        <w:rPr>
          <w:rFonts w:ascii="Calibri" w:hAnsi="Calibri" w:cs="Calibri"/>
          <w:sz w:val="22"/>
          <w:szCs w:val="22"/>
          <w:u w:val="single"/>
        </w:rPr>
        <w:lastRenderedPageBreak/>
        <w:t>Timeline</w:t>
      </w:r>
    </w:p>
    <w:p w14:paraId="6416BBCD" w14:textId="7AC656FA" w:rsidR="00E110CB" w:rsidRPr="00E110CB" w:rsidRDefault="00E110CB" w:rsidP="00E110CB">
      <w:pPr>
        <w:spacing w:line="240" w:lineRule="auto"/>
        <w:rPr>
          <w:rFonts w:ascii="Calibri" w:hAnsi="Calibri" w:cs="Calibri"/>
          <w:sz w:val="22"/>
          <w:szCs w:val="22"/>
        </w:rPr>
      </w:pPr>
      <w:r w:rsidRPr="00E110CB">
        <w:rPr>
          <w:rFonts w:ascii="Calibri" w:hAnsi="Calibri" w:cs="Calibri"/>
          <w:sz w:val="22"/>
          <w:szCs w:val="22"/>
        </w:rPr>
        <w:t>The research process will take approximately six months</w:t>
      </w:r>
      <w:r>
        <w:rPr>
          <w:rFonts w:ascii="Calibri" w:hAnsi="Calibri" w:cs="Calibri"/>
          <w:sz w:val="22"/>
          <w:szCs w:val="22"/>
        </w:rPr>
        <w:t xml:space="preserve"> to analyze DCFS records over a three-year period</w:t>
      </w:r>
      <w:r w:rsidRPr="00E110CB">
        <w:rPr>
          <w:rFonts w:ascii="Calibri" w:hAnsi="Calibri" w:cs="Calibri"/>
          <w:sz w:val="22"/>
          <w:szCs w:val="22"/>
        </w:rPr>
        <w:t>:</w:t>
      </w:r>
    </w:p>
    <w:p w14:paraId="572F86EE" w14:textId="77777777" w:rsidR="00E110CB" w:rsidRPr="00E110CB" w:rsidRDefault="00E110CB" w:rsidP="00E110CB">
      <w:pPr>
        <w:numPr>
          <w:ilvl w:val="0"/>
          <w:numId w:val="19"/>
        </w:numPr>
        <w:spacing w:line="240" w:lineRule="auto"/>
        <w:rPr>
          <w:rFonts w:ascii="Calibri" w:hAnsi="Calibri" w:cs="Calibri"/>
          <w:sz w:val="22"/>
          <w:szCs w:val="22"/>
        </w:rPr>
      </w:pPr>
      <w:r w:rsidRPr="00E110CB">
        <w:rPr>
          <w:rFonts w:ascii="Calibri" w:hAnsi="Calibri" w:cs="Calibri"/>
          <w:sz w:val="22"/>
          <w:szCs w:val="22"/>
        </w:rPr>
        <w:t xml:space="preserve">Month 1: obtain approvals and access data </w:t>
      </w:r>
    </w:p>
    <w:p w14:paraId="55584209" w14:textId="77777777" w:rsidR="00E110CB" w:rsidRPr="00E110CB" w:rsidRDefault="00E110CB" w:rsidP="00E110CB">
      <w:pPr>
        <w:numPr>
          <w:ilvl w:val="0"/>
          <w:numId w:val="19"/>
        </w:numPr>
        <w:spacing w:line="240" w:lineRule="auto"/>
        <w:rPr>
          <w:rFonts w:ascii="Calibri" w:hAnsi="Calibri" w:cs="Calibri"/>
          <w:sz w:val="22"/>
          <w:szCs w:val="22"/>
        </w:rPr>
      </w:pPr>
      <w:r w:rsidRPr="00E110CB">
        <w:rPr>
          <w:rFonts w:ascii="Calibri" w:hAnsi="Calibri" w:cs="Calibri"/>
          <w:sz w:val="22"/>
          <w:szCs w:val="22"/>
        </w:rPr>
        <w:t xml:space="preserve">Month 2: extract and identify variables </w:t>
      </w:r>
    </w:p>
    <w:p w14:paraId="35EA2A7D" w14:textId="77777777" w:rsidR="00E110CB" w:rsidRPr="00E110CB" w:rsidRDefault="00E110CB" w:rsidP="00E110CB">
      <w:pPr>
        <w:numPr>
          <w:ilvl w:val="0"/>
          <w:numId w:val="19"/>
        </w:numPr>
        <w:spacing w:line="240" w:lineRule="auto"/>
        <w:rPr>
          <w:rFonts w:ascii="Calibri" w:hAnsi="Calibri" w:cs="Calibri"/>
          <w:sz w:val="22"/>
          <w:szCs w:val="22"/>
        </w:rPr>
      </w:pPr>
      <w:r w:rsidRPr="00E110CB">
        <w:rPr>
          <w:rFonts w:ascii="Calibri" w:hAnsi="Calibri" w:cs="Calibri"/>
          <w:sz w:val="22"/>
          <w:szCs w:val="22"/>
        </w:rPr>
        <w:t xml:space="preserve">Month 3: clean and code data </w:t>
      </w:r>
    </w:p>
    <w:p w14:paraId="736CC15E" w14:textId="77777777" w:rsidR="00E110CB" w:rsidRPr="00E110CB" w:rsidRDefault="00E110CB" w:rsidP="00E110CB">
      <w:pPr>
        <w:numPr>
          <w:ilvl w:val="0"/>
          <w:numId w:val="19"/>
        </w:numPr>
        <w:spacing w:line="240" w:lineRule="auto"/>
        <w:rPr>
          <w:rFonts w:ascii="Calibri" w:hAnsi="Calibri" w:cs="Calibri"/>
          <w:sz w:val="22"/>
          <w:szCs w:val="22"/>
        </w:rPr>
      </w:pPr>
      <w:r w:rsidRPr="00E110CB">
        <w:rPr>
          <w:rFonts w:ascii="Calibri" w:hAnsi="Calibri" w:cs="Calibri"/>
          <w:sz w:val="22"/>
          <w:szCs w:val="22"/>
        </w:rPr>
        <w:t xml:space="preserve">Month 4: conduct analysis </w:t>
      </w:r>
    </w:p>
    <w:p w14:paraId="448C878A" w14:textId="7CD8536E" w:rsidR="00E110CB" w:rsidRPr="00E110CB" w:rsidRDefault="00E110CB" w:rsidP="00E110CB">
      <w:pPr>
        <w:numPr>
          <w:ilvl w:val="0"/>
          <w:numId w:val="19"/>
        </w:numPr>
        <w:spacing w:line="240" w:lineRule="auto"/>
        <w:rPr>
          <w:rFonts w:ascii="Calibri" w:hAnsi="Calibri" w:cs="Calibri"/>
          <w:sz w:val="22"/>
          <w:szCs w:val="22"/>
        </w:rPr>
      </w:pPr>
      <w:r w:rsidRPr="00E110CB">
        <w:rPr>
          <w:rFonts w:ascii="Calibri" w:hAnsi="Calibri" w:cs="Calibri"/>
          <w:sz w:val="22"/>
          <w:szCs w:val="22"/>
        </w:rPr>
        <w:t>Month 5–6: interpret findings and finalize the report</w:t>
      </w:r>
    </w:p>
    <w:p w14:paraId="0B0D09FD" w14:textId="77777777" w:rsidR="00F7553C" w:rsidRDefault="00F7553C" w:rsidP="00F7553C">
      <w:pPr>
        <w:spacing w:line="240" w:lineRule="auto"/>
        <w:rPr>
          <w:rFonts w:ascii="Calibri" w:hAnsi="Calibri" w:cs="Calibri"/>
          <w:sz w:val="22"/>
          <w:szCs w:val="22"/>
        </w:rPr>
      </w:pPr>
    </w:p>
    <w:p w14:paraId="3C8FA7AF" w14:textId="2DF367E5" w:rsidR="00CB697F" w:rsidRPr="00F7553C" w:rsidRDefault="00CB697F" w:rsidP="00F7553C">
      <w:pPr>
        <w:spacing w:line="240" w:lineRule="auto"/>
        <w:rPr>
          <w:rFonts w:ascii="Calibri" w:hAnsi="Calibri" w:cs="Calibri"/>
          <w:b/>
          <w:bCs/>
          <w:sz w:val="22"/>
          <w:szCs w:val="22"/>
        </w:rPr>
      </w:pPr>
      <w:r w:rsidRPr="00F7553C">
        <w:rPr>
          <w:rFonts w:ascii="Calibri" w:hAnsi="Calibri" w:cs="Calibri"/>
          <w:b/>
          <w:bCs/>
          <w:sz w:val="22"/>
          <w:szCs w:val="22"/>
        </w:rPr>
        <w:t>5. Public Sector Constraints and Feasibility</w:t>
      </w:r>
      <w:r w:rsidR="00F7553C">
        <w:rPr>
          <w:rFonts w:ascii="Calibri" w:hAnsi="Calibri" w:cs="Calibri"/>
          <w:b/>
          <w:bCs/>
          <w:sz w:val="22"/>
          <w:szCs w:val="22"/>
        </w:rPr>
        <w:t xml:space="preserve"> (Joanna Bravo) </w:t>
      </w:r>
    </w:p>
    <w:p w14:paraId="5D7DB28B" w14:textId="77777777" w:rsidR="00F7553C" w:rsidRPr="00F7553C" w:rsidRDefault="00F7553C" w:rsidP="00F7553C">
      <w:pPr>
        <w:rPr>
          <w:rFonts w:ascii="Calibri" w:hAnsi="Calibri" w:cs="Calibri"/>
          <w:sz w:val="22"/>
          <w:szCs w:val="22"/>
        </w:rPr>
      </w:pPr>
      <w:r w:rsidRPr="00F7553C">
        <w:rPr>
          <w:rFonts w:ascii="Calibri" w:hAnsi="Calibri" w:cs="Calibri"/>
          <w:sz w:val="22"/>
          <w:szCs w:val="22"/>
        </w:rPr>
        <w:t>This study is feasible within a public administration context because it relies on existing administrative data, reducing the need for time-intensive and costly primary data collection. However, several constraints must be considered.</w:t>
      </w:r>
    </w:p>
    <w:p w14:paraId="3A37764F" w14:textId="3222158C" w:rsidR="00F7553C" w:rsidRPr="00F7553C" w:rsidRDefault="00F7553C" w:rsidP="00F7553C">
      <w:pPr>
        <w:pStyle w:val="ListParagraph"/>
        <w:numPr>
          <w:ilvl w:val="0"/>
          <w:numId w:val="20"/>
        </w:numPr>
        <w:rPr>
          <w:rFonts w:ascii="Calibri" w:hAnsi="Calibri" w:cs="Calibri"/>
          <w:sz w:val="22"/>
          <w:szCs w:val="22"/>
        </w:rPr>
      </w:pPr>
      <w:r w:rsidRPr="00F7553C">
        <w:rPr>
          <w:rFonts w:ascii="Calibri" w:hAnsi="Calibri" w:cs="Calibri"/>
          <w:sz w:val="22"/>
          <w:szCs w:val="22"/>
        </w:rPr>
        <w:t xml:space="preserve">Time and Cost Constraints </w:t>
      </w:r>
    </w:p>
    <w:p w14:paraId="7CC2792E"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Using secondary data reduces costs associated with surveys or interviews </w:t>
      </w:r>
    </w:p>
    <w:p w14:paraId="4BAFDAAA"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Time is still required for data access approvals, cleaning, and analysis </w:t>
      </w:r>
    </w:p>
    <w:p w14:paraId="34647676" w14:textId="77777777" w:rsidR="00F7553C" w:rsidRPr="00F7553C" w:rsidRDefault="00F7553C" w:rsidP="00F7553C">
      <w:pPr>
        <w:numPr>
          <w:ilvl w:val="0"/>
          <w:numId w:val="20"/>
        </w:numPr>
        <w:rPr>
          <w:rFonts w:ascii="Calibri" w:hAnsi="Calibri" w:cs="Calibri"/>
          <w:sz w:val="22"/>
          <w:szCs w:val="22"/>
        </w:rPr>
      </w:pPr>
      <w:r w:rsidRPr="00F7553C">
        <w:rPr>
          <w:rFonts w:ascii="Calibri" w:hAnsi="Calibri" w:cs="Calibri"/>
          <w:sz w:val="22"/>
          <w:szCs w:val="22"/>
        </w:rPr>
        <w:t xml:space="preserve">Institutional Constraints </w:t>
      </w:r>
    </w:p>
    <w:p w14:paraId="0D216A62"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Access to DCFS data may require multiple levels of approval </w:t>
      </w:r>
    </w:p>
    <w:p w14:paraId="55FAD916"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Bureaucratic processes and data restrictions may delay the study </w:t>
      </w:r>
    </w:p>
    <w:p w14:paraId="136716A2"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Data may not be stored in a research-ready format </w:t>
      </w:r>
    </w:p>
    <w:p w14:paraId="74DBFF11" w14:textId="77777777" w:rsidR="00F7553C" w:rsidRPr="00F7553C" w:rsidRDefault="00F7553C" w:rsidP="00F7553C">
      <w:pPr>
        <w:numPr>
          <w:ilvl w:val="0"/>
          <w:numId w:val="20"/>
        </w:numPr>
        <w:rPr>
          <w:rFonts w:ascii="Calibri" w:hAnsi="Calibri" w:cs="Calibri"/>
          <w:sz w:val="22"/>
          <w:szCs w:val="22"/>
        </w:rPr>
      </w:pPr>
      <w:r w:rsidRPr="00F7553C">
        <w:rPr>
          <w:rFonts w:ascii="Calibri" w:hAnsi="Calibri" w:cs="Calibri"/>
          <w:sz w:val="22"/>
          <w:szCs w:val="22"/>
        </w:rPr>
        <w:t xml:space="preserve">Data Quality Limitations </w:t>
      </w:r>
    </w:p>
    <w:p w14:paraId="36D5348D"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Administrative records may be incomplete or inconsistently entered </w:t>
      </w:r>
    </w:p>
    <w:p w14:paraId="2C4DC4FD"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Variability in documentation (e.g., contacts, services) may affect reliability </w:t>
      </w:r>
    </w:p>
    <w:p w14:paraId="3E8AE77D" w14:textId="77777777" w:rsidR="00F7553C" w:rsidRPr="00F7553C" w:rsidRDefault="00F7553C" w:rsidP="00F7553C">
      <w:pPr>
        <w:numPr>
          <w:ilvl w:val="0"/>
          <w:numId w:val="20"/>
        </w:numPr>
        <w:rPr>
          <w:rFonts w:ascii="Calibri" w:hAnsi="Calibri" w:cs="Calibri"/>
          <w:sz w:val="22"/>
          <w:szCs w:val="22"/>
        </w:rPr>
      </w:pPr>
      <w:r w:rsidRPr="00F7553C">
        <w:rPr>
          <w:rFonts w:ascii="Calibri" w:hAnsi="Calibri" w:cs="Calibri"/>
          <w:sz w:val="22"/>
          <w:szCs w:val="22"/>
        </w:rPr>
        <w:t xml:space="preserve">Ethical Considerations </w:t>
      </w:r>
    </w:p>
    <w:p w14:paraId="71DF8E7C"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Data includes sensitive information about children and families </w:t>
      </w:r>
    </w:p>
    <w:p w14:paraId="286A105A"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Confidentiality and privacy must be strictly maintained </w:t>
      </w:r>
    </w:p>
    <w:p w14:paraId="0802165B"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 xml:space="preserve">Access should be limited to authorized personnel and identifying information protected </w:t>
      </w:r>
    </w:p>
    <w:p w14:paraId="53204360" w14:textId="77777777" w:rsidR="00F7553C" w:rsidRPr="00F7553C" w:rsidRDefault="00F7553C" w:rsidP="00F7553C">
      <w:pPr>
        <w:numPr>
          <w:ilvl w:val="1"/>
          <w:numId w:val="20"/>
        </w:numPr>
        <w:rPr>
          <w:rFonts w:ascii="Calibri" w:hAnsi="Calibri" w:cs="Calibri"/>
          <w:sz w:val="22"/>
          <w:szCs w:val="22"/>
        </w:rPr>
      </w:pPr>
      <w:r w:rsidRPr="00F7553C">
        <w:rPr>
          <w:rFonts w:ascii="Calibri" w:hAnsi="Calibri" w:cs="Calibri"/>
          <w:sz w:val="22"/>
          <w:szCs w:val="22"/>
        </w:rPr>
        <w:t>Although there is no direct participant interaction, ethical responsibility remains in ensuring secure and appropriate data use</w:t>
      </w:r>
    </w:p>
    <w:p w14:paraId="3D5543E7" w14:textId="77777777" w:rsidR="00CB697F" w:rsidRDefault="00CB697F" w:rsidP="00CB697F"/>
    <w:sectPr w:rsidR="00CB69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A7BF" w14:textId="77777777" w:rsidR="005D3D6D" w:rsidRDefault="005D3D6D" w:rsidP="007D3099">
      <w:pPr>
        <w:spacing w:after="0" w:line="240" w:lineRule="auto"/>
      </w:pPr>
      <w:r>
        <w:separator/>
      </w:r>
    </w:p>
  </w:endnote>
  <w:endnote w:type="continuationSeparator" w:id="0">
    <w:p w14:paraId="1A1C5150" w14:textId="77777777" w:rsidR="005D3D6D" w:rsidRDefault="005D3D6D" w:rsidP="007D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CFCB" w14:textId="77777777" w:rsidR="005D3D6D" w:rsidRDefault="005D3D6D" w:rsidP="007D3099">
      <w:pPr>
        <w:spacing w:after="0" w:line="240" w:lineRule="auto"/>
      </w:pPr>
      <w:r>
        <w:separator/>
      </w:r>
    </w:p>
  </w:footnote>
  <w:footnote w:type="continuationSeparator" w:id="0">
    <w:p w14:paraId="0F492364" w14:textId="77777777" w:rsidR="005D3D6D" w:rsidRDefault="005D3D6D" w:rsidP="007D3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BC"/>
    <w:multiLevelType w:val="multilevel"/>
    <w:tmpl w:val="19C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06DB3"/>
    <w:multiLevelType w:val="multilevel"/>
    <w:tmpl w:val="8E58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17EA1"/>
    <w:multiLevelType w:val="multilevel"/>
    <w:tmpl w:val="ED1A92EC"/>
    <w:lvl w:ilvl="0">
      <w:start w:val="1"/>
      <w:numFmt w:val="decimal"/>
      <w:lvlText w:val="%1)"/>
      <w:lvlJc w:val="left"/>
      <w:pPr>
        <w:tabs>
          <w:tab w:val="num" w:pos="720"/>
        </w:tabs>
        <w:ind w:left="720" w:hanging="360"/>
      </w:pPr>
      <w:rPr>
        <w:rFonts w:ascii="Calibri" w:eastAsiaTheme="minorHAnsi" w:hAnsi="Calibri" w:cs="Calibr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A2C22"/>
    <w:multiLevelType w:val="multilevel"/>
    <w:tmpl w:val="935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804CC"/>
    <w:multiLevelType w:val="multilevel"/>
    <w:tmpl w:val="48E63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45F00"/>
    <w:multiLevelType w:val="multilevel"/>
    <w:tmpl w:val="8BDA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54C0B"/>
    <w:multiLevelType w:val="multilevel"/>
    <w:tmpl w:val="078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84626"/>
    <w:multiLevelType w:val="multilevel"/>
    <w:tmpl w:val="DA66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C3CC0"/>
    <w:multiLevelType w:val="multilevel"/>
    <w:tmpl w:val="C0A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33858"/>
    <w:multiLevelType w:val="multilevel"/>
    <w:tmpl w:val="713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B21E6"/>
    <w:multiLevelType w:val="multilevel"/>
    <w:tmpl w:val="71FE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F7051"/>
    <w:multiLevelType w:val="multilevel"/>
    <w:tmpl w:val="3D2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570D2"/>
    <w:multiLevelType w:val="multilevel"/>
    <w:tmpl w:val="040EC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C2D13"/>
    <w:multiLevelType w:val="multilevel"/>
    <w:tmpl w:val="DFAC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15A4F"/>
    <w:multiLevelType w:val="multilevel"/>
    <w:tmpl w:val="B10A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80343"/>
    <w:multiLevelType w:val="multilevel"/>
    <w:tmpl w:val="87C63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01E5D"/>
    <w:multiLevelType w:val="multilevel"/>
    <w:tmpl w:val="FF2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F7D0D"/>
    <w:multiLevelType w:val="multilevel"/>
    <w:tmpl w:val="5C42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F2D39"/>
    <w:multiLevelType w:val="multilevel"/>
    <w:tmpl w:val="3A40FDD8"/>
    <w:lvl w:ilvl="0">
      <w:start w:val="1"/>
      <w:numFmt w:val="decimal"/>
      <w:lvlText w:val="%1)"/>
      <w:lvlJc w:val="left"/>
      <w:pPr>
        <w:tabs>
          <w:tab w:val="num" w:pos="720"/>
        </w:tabs>
        <w:ind w:left="720" w:hanging="360"/>
      </w:pPr>
      <w:rPr>
        <w:rFonts w:ascii="Calibri" w:eastAsiaTheme="minorHAnsi" w:hAnsi="Calibri" w:cs="Calibr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42282"/>
    <w:multiLevelType w:val="multilevel"/>
    <w:tmpl w:val="122A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349162">
    <w:abstractNumId w:val="14"/>
  </w:num>
  <w:num w:numId="2" w16cid:durableId="1826361779">
    <w:abstractNumId w:val="1"/>
  </w:num>
  <w:num w:numId="3" w16cid:durableId="897547590">
    <w:abstractNumId w:val="4"/>
  </w:num>
  <w:num w:numId="4" w16cid:durableId="777875726">
    <w:abstractNumId w:val="16"/>
  </w:num>
  <w:num w:numId="5" w16cid:durableId="34082874">
    <w:abstractNumId w:val="15"/>
    <w:lvlOverride w:ilvl="0">
      <w:lvl w:ilvl="0">
        <w:numFmt w:val="decimal"/>
        <w:lvlText w:val="%1."/>
        <w:lvlJc w:val="left"/>
      </w:lvl>
    </w:lvlOverride>
  </w:num>
  <w:num w:numId="6" w16cid:durableId="1404765162">
    <w:abstractNumId w:val="8"/>
  </w:num>
  <w:num w:numId="7" w16cid:durableId="63534596">
    <w:abstractNumId w:val="12"/>
    <w:lvlOverride w:ilvl="0">
      <w:lvl w:ilvl="0">
        <w:numFmt w:val="decimal"/>
        <w:lvlText w:val="%1."/>
        <w:lvlJc w:val="left"/>
      </w:lvl>
    </w:lvlOverride>
  </w:num>
  <w:num w:numId="8" w16cid:durableId="2066827427">
    <w:abstractNumId w:val="7"/>
  </w:num>
  <w:num w:numId="9" w16cid:durableId="183324055">
    <w:abstractNumId w:val="13"/>
  </w:num>
  <w:num w:numId="10" w16cid:durableId="1570772551">
    <w:abstractNumId w:val="19"/>
  </w:num>
  <w:num w:numId="11" w16cid:durableId="1547136191">
    <w:abstractNumId w:val="5"/>
  </w:num>
  <w:num w:numId="12" w16cid:durableId="1374623451">
    <w:abstractNumId w:val="11"/>
  </w:num>
  <w:num w:numId="13" w16cid:durableId="902985597">
    <w:abstractNumId w:val="2"/>
  </w:num>
  <w:num w:numId="14" w16cid:durableId="282687789">
    <w:abstractNumId w:val="3"/>
  </w:num>
  <w:num w:numId="15" w16cid:durableId="1913420323">
    <w:abstractNumId w:val="17"/>
  </w:num>
  <w:num w:numId="16" w16cid:durableId="1725985671">
    <w:abstractNumId w:val="10"/>
  </w:num>
  <w:num w:numId="17" w16cid:durableId="17509626">
    <w:abstractNumId w:val="6"/>
  </w:num>
  <w:num w:numId="18" w16cid:durableId="424690856">
    <w:abstractNumId w:val="0"/>
  </w:num>
  <w:num w:numId="19" w16cid:durableId="1385300033">
    <w:abstractNumId w:val="9"/>
  </w:num>
  <w:num w:numId="20" w16cid:durableId="199434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99"/>
    <w:rsid w:val="00132765"/>
    <w:rsid w:val="001A332F"/>
    <w:rsid w:val="003C2704"/>
    <w:rsid w:val="00424089"/>
    <w:rsid w:val="005D3D6D"/>
    <w:rsid w:val="006B5DB1"/>
    <w:rsid w:val="0072726F"/>
    <w:rsid w:val="007D3099"/>
    <w:rsid w:val="00861DCC"/>
    <w:rsid w:val="00B91610"/>
    <w:rsid w:val="00BF1678"/>
    <w:rsid w:val="00CB697F"/>
    <w:rsid w:val="00DD0CE6"/>
    <w:rsid w:val="00E110CB"/>
    <w:rsid w:val="00F7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EB87"/>
  <w15:chartTrackingRefBased/>
  <w15:docId w15:val="{6049DA77-242B-47D4-8922-318D2DB4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099"/>
    <w:rPr>
      <w:rFonts w:eastAsiaTheme="majorEastAsia" w:cstheme="majorBidi"/>
      <w:color w:val="272727" w:themeColor="text1" w:themeTint="D8"/>
    </w:rPr>
  </w:style>
  <w:style w:type="paragraph" w:styleId="Title">
    <w:name w:val="Title"/>
    <w:basedOn w:val="Normal"/>
    <w:next w:val="Normal"/>
    <w:link w:val="TitleChar"/>
    <w:uiPriority w:val="10"/>
    <w:qFormat/>
    <w:rsid w:val="007D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099"/>
    <w:pPr>
      <w:spacing w:before="160"/>
      <w:jc w:val="center"/>
    </w:pPr>
    <w:rPr>
      <w:i/>
      <w:iCs/>
      <w:color w:val="404040" w:themeColor="text1" w:themeTint="BF"/>
    </w:rPr>
  </w:style>
  <w:style w:type="character" w:customStyle="1" w:styleId="QuoteChar">
    <w:name w:val="Quote Char"/>
    <w:basedOn w:val="DefaultParagraphFont"/>
    <w:link w:val="Quote"/>
    <w:uiPriority w:val="29"/>
    <w:rsid w:val="007D3099"/>
    <w:rPr>
      <w:i/>
      <w:iCs/>
      <w:color w:val="404040" w:themeColor="text1" w:themeTint="BF"/>
    </w:rPr>
  </w:style>
  <w:style w:type="paragraph" w:styleId="ListParagraph">
    <w:name w:val="List Paragraph"/>
    <w:basedOn w:val="Normal"/>
    <w:uiPriority w:val="34"/>
    <w:qFormat/>
    <w:rsid w:val="007D3099"/>
    <w:pPr>
      <w:ind w:left="720"/>
      <w:contextualSpacing/>
    </w:pPr>
  </w:style>
  <w:style w:type="character" w:styleId="IntenseEmphasis">
    <w:name w:val="Intense Emphasis"/>
    <w:basedOn w:val="DefaultParagraphFont"/>
    <w:uiPriority w:val="21"/>
    <w:qFormat/>
    <w:rsid w:val="007D3099"/>
    <w:rPr>
      <w:i/>
      <w:iCs/>
      <w:color w:val="0F4761" w:themeColor="accent1" w:themeShade="BF"/>
    </w:rPr>
  </w:style>
  <w:style w:type="paragraph" w:styleId="IntenseQuote">
    <w:name w:val="Intense Quote"/>
    <w:basedOn w:val="Normal"/>
    <w:next w:val="Normal"/>
    <w:link w:val="IntenseQuoteChar"/>
    <w:uiPriority w:val="30"/>
    <w:qFormat/>
    <w:rsid w:val="007D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099"/>
    <w:rPr>
      <w:i/>
      <w:iCs/>
      <w:color w:val="0F4761" w:themeColor="accent1" w:themeShade="BF"/>
    </w:rPr>
  </w:style>
  <w:style w:type="character" w:styleId="IntenseReference">
    <w:name w:val="Intense Reference"/>
    <w:basedOn w:val="DefaultParagraphFont"/>
    <w:uiPriority w:val="32"/>
    <w:qFormat/>
    <w:rsid w:val="007D3099"/>
    <w:rPr>
      <w:b/>
      <w:bCs/>
      <w:smallCaps/>
      <w:color w:val="0F4761" w:themeColor="accent1" w:themeShade="BF"/>
      <w:spacing w:val="5"/>
    </w:rPr>
  </w:style>
  <w:style w:type="paragraph" w:styleId="Header">
    <w:name w:val="header"/>
    <w:basedOn w:val="Normal"/>
    <w:link w:val="HeaderChar"/>
    <w:uiPriority w:val="99"/>
    <w:unhideWhenUsed/>
    <w:rsid w:val="007D3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099"/>
  </w:style>
  <w:style w:type="paragraph" w:styleId="Footer">
    <w:name w:val="footer"/>
    <w:basedOn w:val="Normal"/>
    <w:link w:val="FooterChar"/>
    <w:uiPriority w:val="99"/>
    <w:unhideWhenUsed/>
    <w:rsid w:val="007D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Sarkisyan, Alice</dc:creator>
  <cp:keywords/>
  <dc:description/>
  <cp:lastModifiedBy>Microsoft Office User</cp:lastModifiedBy>
  <cp:revision>6</cp:revision>
  <dcterms:created xsi:type="dcterms:W3CDTF">2026-04-21T02:54:00Z</dcterms:created>
  <dcterms:modified xsi:type="dcterms:W3CDTF">2026-04-21T04:27:00Z</dcterms:modified>
</cp:coreProperties>
</file>